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85 vom 29. März 2023</w:t>
      </w:r>
    </w:p>
    <w:p>
      <w:r>
        <w:t>GR Gerichte, 2023-03-29, IT</w:t>
      </w:r>
    </w:p>
    <w:p>
      <w:r>
        <w:rPr>
          <w:b/>
        </w:rPr>
        <w:t xml:space="preserve">Quelle: </w:t>
      </w:r>
      <w:r>
        <w:t>https://mcp.opencaselaw.ch/entscheid/gr_gerichte_U 2022 85</w:t>
      </w:r>
    </w:p>
    <w:p>
      <w:r>
        <w:t>FR: GR_GERICHTE U 2022 85 du 29 mars 2023</w:t>
      </w:r>
    </w:p>
    <w:p>
      <w:r>
        <w:t>IT: GR_GERICHTE U 2022 85 del 29 marzo 2023</w:t>
      </w:r>
    </w:p>
    <w:p>
      <w:pPr>
        <w:pStyle w:val="Heading2"/>
      </w:pPr>
      <w:r>
        <w:t>Regeste</w:t>
      </w:r>
    </w:p>
    <w:p>
      <w:r>
        <w:t>rescissione del rapporto di servizio (senza preavviso) | Personalrecht</w:t>
      </w:r>
    </w:p>
    <w:p>
      <w:pPr>
        <w:pStyle w:val="Heading2"/>
      </w:pPr>
      <w:r>
        <w:t>Erwägungen</w:t>
      </w:r>
    </w:p>
    <w:p>
      <w:r>
        <w:rPr>
          <w:b/>
        </w:rPr>
        <w:t>E. 1</w:t>
      </w:r>
    </w:p>
    <w:p>
      <w:r>
        <w:t>Il Tribunale amministrativo del Cantone dei Grigioni è competente a giudicare il presente ricorso avente per oggetto la decisione del 19 settembre 2022 del Comune di B._____ (art. 49 cpv. 1 lett. a della Legge sulla giustizia amministrativa [LGA; CSC 370.100]), concernente il licenziamento immediato del ricorrente. I requisiti di forma (art. 38 LGA), la legittimazione del ricorrente (art. 50 LGA) e il termine per presentare ricorso (art. 52 cpv. 2 LGA) non destano alcun dubbio circa la sua ricevibilità. Il Tribunale amministrativo entra dunque nel merito.</w:t>
      </w:r>
    </w:p>
    <w:p>
      <w:r>
        <w:rPr>
          <w:b/>
        </w:rPr>
        <w:t>E. 2</w:t>
      </w:r>
    </w:p>
    <w:p>
      <w:r>
        <w:t>Da chiarire e accertare nel caso in esame è se la rescissione immediata del rapporto di servizio sia stata abusiva o ingiustificata, o vada invece confermata in quanto legittima.</w:t>
      </w:r>
    </w:p>
    <w:p>
      <w:r>
        <w:t>- 9 -</w:t>
      </w:r>
    </w:p>
    <w:p>
      <w:r>
        <w:rPr>
          <w:b/>
        </w:rPr>
        <w:t>E. 3</w:t>
      </w:r>
    </w:p>
    <w:p>
      <w:r>
        <w:t>Risulta incontestato che al contratto di lavoro tra il ricorrente e il Comune di B._____ si applicano il Regolamento organico per il personale del Comune di B._____ (ROP) e, sussidiariamente, la Legge federale di complemento del Codice civile svizzero (CO; RS 220).</w:t>
      </w:r>
    </w:p>
    <w:p>
      <w:r>
        <w:rPr>
          <w:b/>
        </w:rPr>
        <w:t>E. 3.1</w:t>
      </w:r>
    </w:p>
    <w:p>
      <w:r>
        <w:t>Ai sensi dell'art. 22 ROP che regola la disdetta immediata, le parti contraenti possono disdire in ogni momento il rapporto di lavoro senza osservare i termini, a condizione che vi siano dei motivi gravi (cpv. 1). È considerato grave ogni motivo che non permette di esigere la continuazione del rapporto di lavoro da chi dà la disdetta (art. 22 cpv. 2 ROP). L'art. 22 ROP si conforma all'art. 10 della Legge sul rapporto di lavoro dei collaboratori del Cantone dei Grigioni (LCPers; RS 170.400) così come all'art. 10 cpv. 4 della Legge sul personale federale (LPers; RS 172.220.1), motivo per cui risulta opportuno, ove necessario, fare riferimento alla rispettiva giurisprudenza in merito.</w:t>
      </w:r>
    </w:p>
    <w:p>
      <w:r>
        <w:rPr>
          <w:b/>
        </w:rPr>
        <w:t>E. 3.2</w:t>
      </w:r>
    </w:p>
    <w:p>
      <w:r>
        <w:t>La consolidata giurisprudenza del Tribunale federale classifica la disdetta immediata per motivi gravi come una misura eccezionale che deve essere ammessa in maniera restrittiva (Decisione del Tribunale federale [DTF] 127 III 351 consid. 4a, 129 III 380 consid. 2.1, 127 III 153 consid. 1°, 130 III 28 consid. 4.1). I fatti invocati a sostegno di una disdetta immediata devono aver minato e compromesso il rapporto di fiducia alla base del contratto di lavoro o averlo pregiudicato a tal punto da rendere insostenibile la continuazione del contratto sino al termine di disdetta ordinario (DTF 124 III 25 consid. 3c, 127 III 351 consid. 4a; Sentenza del Tribunale amministrativo federale [STAF] A-1055/2017 del 28 giugno 2017, consid. 4.3.1). Solo una violazione particolarmente grave da parte del dipendente giustifica la disdetta immediata; se la violazione è meno grave può portare al licenziamento immediato solo se è stata ripetuta nonostante un avvertimento (DTF 127 III 153 consid. 1a, 129 III 380 consid. 2.1, 130 III 28 consid. 4.1, 142 III 579 consid. 4.2). In altre parole, la disdetta immediata può essere la conseguenza di un atto</w:t>
      </w:r>
    </w:p>
    <w:p>
      <w:r>
        <w:t>- 10 - isolato particolarmente grave (gravità assoluta) oppure può discendere da ripetute violazioni contrattuali che fanno sì che la gravità, in questo caso relativa, non consista nell'atto stesso ma nella reiterazione di più manchevolezze (cfr. STAF A-1055/2017 del 28 giugno 2017, consid. 4.3.2; DTF 130 III 28 consid 4.1; Sentenza del Tribunale federale [STF] 4A_397/2014 del 17 dicembre 2014, consid. 3.1). Per violazione contrattuale si intende la violazione da parte di un dipendente di un dovere derivante dal contratto di lavoro, come per esempio il dovere di fedeltà (DTF 127 III 351 consid. 4a, 121 III 467 consid. 4d, 127 III 310 consid. 3). Il dovere di diligenza e fedeltà prescrive che il lavoratore è tenuto ad espletare con cura e diligenza l'attività lavorativa affidatagli come pure a tutelare gli interessi legittimi del suo datore di lavoro (cfr. art. 321a cpv. 1 CO e art. 51 e 62 ROP). Va ricordato che per un dipendente pubblico il dovere di fedeltà è duplice (doppelte Loyalitätsverpflichtung) nella misura in cui egli oltre alla salvaguardia degli interessi pubblici del proprio datore di lavoro (obbligo di fedeltà particolare), ha parimenti l'obbligo di fedeltà – nella veste di cittadino – nei confronti dello Stato (obbligo di fedeltà generale; STAF A-1055/2017 del 28 giugno 2017, consid. 4.3.3; A-646/2016 del 19 ottobre 2016, consid. 6.2.3; A-6031/2017 del 3 aprile 2019, consid. 3.3). In questo senso, seppur in modo generale, si esprime anche l'art. 51 ROP, secondo cui i collaboratori sono tenuti a tutelare gli interessi pubblici. Appurato che gravi violazioni del dovere di fedeltà possono costituire un motivo grave e portare a una disdetta immediata, va altresì ricordato che il contenuto del dovere di fedeltà dipende in maniera importante dalla funzione esercitata e dal rango organico ricoperto dal lavoratore (STAF A-1055/2017 del 28 giugno 2017, consid. 4.3.3; cfr. STF 4A_298/2011 del</w:t>
      </w:r>
    </w:p>
    <w:p>
      <w:r>
        <w:rPr>
          <w:b/>
        </w:rPr>
        <w:t>E. 6</w:t>
      </w:r>
    </w:p>
    <w:p>
      <w:r>
        <w:t>Per controversie in materia di diritto del personale la prassi del Tribunale amministrativo prevede che fino a un valore litigioso di CHF 30'000.00 non vengano prelevate spese processuali. Nel caso in esame il ricorrente ha richiesto l'accertamento dell'illeceità della rescissione del rapporto di servizio – domanda a cui non corrisponde un valore litigioso (cfr. STA U 2018 9, consid. 6.1). Pertanto, in assenza di un valore litigioso, il Tribunale amministrativo rinuncia a prelevare spese processuali. Inoltre, giusta la regola all'art. 78 cpv. 2 LGA al Comune di B._____ non vengono assegnate ripetibili. III. Per questi motivi il Tribunale giudica: 1. Il ricorso è respinto. 2. Non vengono prelevate spese processuali.</w:t>
      </w:r>
    </w:p>
    <w:p>
      <w:r>
        <w:t>- 28 - 3. Non vengono assegnate spese ripetibili. 4. [Vie di diritto] 5. [Comunicazione]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